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70" w:rsidRPr="00565270" w:rsidRDefault="0092051E" w:rsidP="00565270">
      <w:pPr>
        <w:pStyle w:val="1"/>
      </w:pPr>
      <w:r>
        <w:t>Ε</w:t>
      </w:r>
      <w:r w:rsidR="00565270">
        <w:t>ισόδημα</w:t>
      </w:r>
    </w:p>
    <w:p w:rsidR="00565270" w:rsidRDefault="00093214" w:rsidP="0056527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9308518" cy="3522428"/>
            <wp:effectExtent l="19050" t="0" r="693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0" cy="352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270" w:rsidRDefault="00E948DC" w:rsidP="00565270">
      <w:r>
        <w:t>Το 61,1</w:t>
      </w:r>
      <w:r w:rsidR="00565270">
        <w:t>% των αιτήσεων που εγκρίθηκαν προς υπαγωγή αφορούν δικαιούχους που ανήκουν στην πρώτη εισοδηματική κατηγορία, δηλαδή έχουν ατομικό εισόδημα μέχρι 10.000 ευρώ ή οικογενειακό εισόδημ</w:t>
      </w:r>
      <w:r>
        <w:t>α μέχρι 20.000 ευρώ. Επιπλέον 21,2</w:t>
      </w:r>
      <w:r w:rsidR="00565270">
        <w:t>% αφορά δικαιούχους της δεύτερης κατηγορίας. Κατά συνέπεια</w:t>
      </w:r>
      <w:r>
        <w:t xml:space="preserve"> σχεδόν οι 8</w:t>
      </w:r>
      <w:r w:rsidR="00565270">
        <w:t xml:space="preserve"> στους 10 ωφελούμενους έχουν ατομικό εισόδημα μέχρι 15.000 ευρώ ή οικογενειακό μέχρι 25.000 ευρώ.</w:t>
      </w:r>
    </w:p>
    <w:p w:rsidR="00565270" w:rsidRDefault="00565270" w:rsidP="00565270">
      <w:pPr>
        <w:pStyle w:val="1"/>
      </w:pPr>
      <w:r>
        <w:lastRenderedPageBreak/>
        <w:t>Ενεργειακή κατηγορία</w:t>
      </w:r>
    </w:p>
    <w:p w:rsidR="00565270" w:rsidRDefault="00093214" w:rsidP="0056527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8068945" cy="44640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270" w:rsidRPr="00497DB2" w:rsidRDefault="00565270" w:rsidP="00565270">
      <w:r>
        <w:t>Ιδιαίτερο ενδιαφέρον έχει ότι περισσότερες από τις μισές αιτήσεις που εγκρίθηκε ήδη η υπαγωγή τους ανήκουν στη χαμηλότερη ενεργειακή κατηγορία (</w:t>
      </w:r>
      <w:r w:rsidRPr="00565270">
        <w:rPr>
          <w:lang w:val="en-US"/>
        </w:rPr>
        <w:t>G</w:t>
      </w:r>
      <w:r>
        <w:t>) και άρα η αναβάθμιση θα έχει σημαντικά αποτελέσματα. Μόλις 1 στις 7 ανήκει στην ανώτερη ενεργειακή κατηγορία για την οποία είναι εφικτή η υπαγωγή (</w:t>
      </w:r>
      <w:r w:rsidRPr="00565270">
        <w:rPr>
          <w:lang w:val="en-US"/>
        </w:rPr>
        <w:t>D</w:t>
      </w:r>
      <w:r w:rsidRPr="0059660E">
        <w:t>).</w:t>
      </w:r>
    </w:p>
    <w:p w:rsidR="00565270" w:rsidRDefault="00565270" w:rsidP="00565270">
      <w:pPr>
        <w:pStyle w:val="1"/>
      </w:pPr>
      <w:r>
        <w:lastRenderedPageBreak/>
        <w:t>Περιφέρειες</w:t>
      </w:r>
    </w:p>
    <w:p w:rsidR="00565270" w:rsidRPr="00565270" w:rsidRDefault="00093214" w:rsidP="0056527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9321800" cy="448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0" cy="448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B1E" w:rsidRDefault="00B1046C" w:rsidP="00565270">
      <w:r>
        <w:t>Το 58,1</w:t>
      </w:r>
      <w:r w:rsidR="00927DC0">
        <w:t>% του συνολικού προϋπολογισμού αφορά σε περιφέρειες που χαρακτηρίζονται ως λιγότερο αναπτυγμένες και άρα επιδοτούνται περισσότερο από τα κοινοτικά ταμεία (Κ. Μακεδονία, Αν. Μακεδονία και Θράκη, Δ. Ελλάδα, Ηπείρου και Θεσσαλίας).</w:t>
      </w:r>
    </w:p>
    <w:p w:rsidR="00565270" w:rsidRDefault="00093214" w:rsidP="00565270">
      <w:pPr>
        <w:ind w:left="360"/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8068945" cy="418465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5270" w:rsidRDefault="00927DC0" w:rsidP="00565270">
      <w:r>
        <w:t xml:space="preserve">Πρώτη Περιφέρεια κατατάσσεται η Κεντρική Μακεδονία, όπου το άθροισμα των επιλέξιμων προϋπολογισμών ξεπερνά </w:t>
      </w:r>
      <w:r w:rsidRPr="0060569E">
        <w:t xml:space="preserve">τα </w:t>
      </w:r>
      <w:r w:rsidR="000910A6" w:rsidRPr="0060569E">
        <w:t>48 εκατ. ευρώ (2</w:t>
      </w:r>
      <w:r w:rsidR="00073094">
        <w:t>2,6</w:t>
      </w:r>
      <w:r w:rsidRPr="0060569E">
        <w:t xml:space="preserve">% του συνόλου των </w:t>
      </w:r>
      <w:r w:rsidR="00A4586C" w:rsidRPr="0060569E">
        <w:t>224,6 εκατ. ευρώ)</w:t>
      </w:r>
      <w:r w:rsidR="0060569E">
        <w:t xml:space="preserve">. Το ποσό της επιχορήγησης </w:t>
      </w:r>
      <w:r w:rsidR="00094696">
        <w:t>για παρεμβάσεις ανέρχεται σε 27,6 εκατ. ευρώ, ενώ επιπλέον 2,8 εκατ. ευρώ είναι δημόσιοι πόροι για συναφείς υπηρεσίες.</w:t>
      </w:r>
      <w:r>
        <w:t xml:space="preserve"> </w:t>
      </w:r>
      <w:r w:rsidR="0060569E">
        <w:t>Τ</w:t>
      </w:r>
      <w:r w:rsidR="00073094">
        <w:t xml:space="preserve">ο ποσό δανείου είναι </w:t>
      </w:r>
      <w:r w:rsidR="0060569E">
        <w:t>14,2 εκατ. ευρώ</w:t>
      </w:r>
      <w:r w:rsidR="00073094">
        <w:t xml:space="preserve"> και τα υπόλοιπα 6,1 εκατ. ευρώ </w:t>
      </w:r>
      <w:r w:rsidR="0060569E">
        <w:t xml:space="preserve">ίδια δαπάνη. </w:t>
      </w:r>
      <w:r w:rsidR="00D17BDE">
        <w:t xml:space="preserve">Στη δεύτερη θέση ακολουθεί η Αττική με επιλέξιμες παρεμβάσεις </w:t>
      </w:r>
      <w:r w:rsidR="00A4586C">
        <w:t>34</w:t>
      </w:r>
      <w:r w:rsidR="00D17BDE">
        <w:t>,</w:t>
      </w:r>
      <w:r w:rsidR="00A4586C">
        <w:t>3 εκατ. ευρώ (17,8</w:t>
      </w:r>
      <w:r w:rsidR="00D17BDE">
        <w:t>%</w:t>
      </w:r>
      <w:r w:rsidR="008900A1">
        <w:t xml:space="preserve"> του συνόλου). Η δημόσια δαπάνη για παρεμβάσεις ανέρχεται σε 18,6 εκατ. ευρώ, ενώ επιπλέον 2 εκατ. ευρώ είναι δημόσιοι πόροι για συναφείς υπηρεσίες. Τ</w:t>
      </w:r>
      <w:r w:rsidR="00094696">
        <w:t xml:space="preserve">ο ποσό δανείου είναι 13 εκατ. ευρώ και </w:t>
      </w:r>
      <w:r w:rsidR="008900A1">
        <w:t>τα υπόλοιπα</w:t>
      </w:r>
      <w:r w:rsidR="00094696">
        <w:t xml:space="preserve"> 2,5 εκατ. ευρώ</w:t>
      </w:r>
      <w:r w:rsidR="008900A1">
        <w:t xml:space="preserve"> ίδια δαπάνη</w:t>
      </w:r>
      <w:r w:rsidR="00C91A5F">
        <w:t xml:space="preserve">. </w:t>
      </w:r>
    </w:p>
    <w:p w:rsidR="00565270" w:rsidRDefault="00093214" w:rsidP="00565270">
      <w:pPr>
        <w:ind w:left="360"/>
        <w:jc w:val="center"/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8068945" cy="422275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497DB2" w:rsidRDefault="00FE1C6E" w:rsidP="00565270">
      <w:r>
        <w:t xml:space="preserve">Αθροιστικά, στις Περιφέρειες Κεντρικής Μακεδονίας και Αττικής, όπου βρίσκονται τα δύο μεγαλύτερα αστικά κέντρα της χώρας, κατευθύνεται </w:t>
      </w:r>
      <w:r w:rsidR="006308E7">
        <w:t>το</w:t>
      </w:r>
      <w:r w:rsidR="007C0F2F">
        <w:t xml:space="preserve"> </w:t>
      </w:r>
      <w:r w:rsidR="007C0F2F" w:rsidRPr="006308E7">
        <w:t>40,4</w:t>
      </w:r>
      <w:r w:rsidR="00AE6595" w:rsidRPr="006308E7">
        <w:t>%</w:t>
      </w:r>
      <w:r w:rsidR="006308E7">
        <w:t xml:space="preserve"> των πόρων</w:t>
      </w:r>
      <w:r w:rsidR="00E8024F">
        <w:t xml:space="preserve">, άρα στην υπόλοιπη χώρα κατευθύνεται περί το 60% των πόρων. Πλην όμως το 70% </w:t>
      </w:r>
      <w:r w:rsidR="00D17BDE">
        <w:t xml:space="preserve"> </w:t>
      </w:r>
      <w:r w:rsidR="00E8024F">
        <w:t xml:space="preserve">των αιτήσεων αφορά σε διαμερίσματα πολυκατοικιών, άρα οι αιτήσεις και από την υπόλοιπη χώρα σχετίζονται στην πλειοψηφία τους με κατοικίες σε αστικά κέντρα. </w:t>
      </w:r>
    </w:p>
    <w:sectPr w:rsidR="00497DB2" w:rsidSect="0056527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11" w:rsidRDefault="009A4911" w:rsidP="00565270">
      <w:r>
        <w:separator/>
      </w:r>
    </w:p>
  </w:endnote>
  <w:endnote w:type="continuationSeparator" w:id="1">
    <w:p w:rsidR="009A4911" w:rsidRDefault="009A4911" w:rsidP="0056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11" w:rsidRDefault="009A4911" w:rsidP="00565270">
      <w:r>
        <w:separator/>
      </w:r>
    </w:p>
  </w:footnote>
  <w:footnote w:type="continuationSeparator" w:id="1">
    <w:p w:rsidR="009A4911" w:rsidRDefault="009A4911" w:rsidP="00565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D5E"/>
    <w:multiLevelType w:val="hybridMultilevel"/>
    <w:tmpl w:val="865CD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C6E"/>
    <w:rsid w:val="0005079E"/>
    <w:rsid w:val="00073094"/>
    <w:rsid w:val="000910A6"/>
    <w:rsid w:val="00093214"/>
    <w:rsid w:val="00094696"/>
    <w:rsid w:val="000A7E35"/>
    <w:rsid w:val="000B77AC"/>
    <w:rsid w:val="000C7E0E"/>
    <w:rsid w:val="00184F43"/>
    <w:rsid w:val="001C7B5F"/>
    <w:rsid w:val="002035E3"/>
    <w:rsid w:val="003327C4"/>
    <w:rsid w:val="003452CE"/>
    <w:rsid w:val="00403506"/>
    <w:rsid w:val="00456CD2"/>
    <w:rsid w:val="00475227"/>
    <w:rsid w:val="00485606"/>
    <w:rsid w:val="00497DB2"/>
    <w:rsid w:val="004C5896"/>
    <w:rsid w:val="00506E0C"/>
    <w:rsid w:val="00536759"/>
    <w:rsid w:val="00554FAA"/>
    <w:rsid w:val="0055762E"/>
    <w:rsid w:val="00565270"/>
    <w:rsid w:val="0059660E"/>
    <w:rsid w:val="005A3852"/>
    <w:rsid w:val="005F2DBD"/>
    <w:rsid w:val="0060569E"/>
    <w:rsid w:val="00606AD1"/>
    <w:rsid w:val="006308E7"/>
    <w:rsid w:val="00684DFB"/>
    <w:rsid w:val="0072271D"/>
    <w:rsid w:val="007326CC"/>
    <w:rsid w:val="0076256F"/>
    <w:rsid w:val="007705D0"/>
    <w:rsid w:val="007A6FB1"/>
    <w:rsid w:val="007C00BF"/>
    <w:rsid w:val="007C0F2F"/>
    <w:rsid w:val="0083673C"/>
    <w:rsid w:val="008768C4"/>
    <w:rsid w:val="008900A1"/>
    <w:rsid w:val="008A19A8"/>
    <w:rsid w:val="008E02DE"/>
    <w:rsid w:val="0090392E"/>
    <w:rsid w:val="0092051E"/>
    <w:rsid w:val="00927DC0"/>
    <w:rsid w:val="009A4911"/>
    <w:rsid w:val="00A36E5E"/>
    <w:rsid w:val="00A4586C"/>
    <w:rsid w:val="00A61583"/>
    <w:rsid w:val="00A67841"/>
    <w:rsid w:val="00AE2454"/>
    <w:rsid w:val="00AE6595"/>
    <w:rsid w:val="00B1046C"/>
    <w:rsid w:val="00B10F5A"/>
    <w:rsid w:val="00B262C4"/>
    <w:rsid w:val="00BB1185"/>
    <w:rsid w:val="00BB4967"/>
    <w:rsid w:val="00C30CD4"/>
    <w:rsid w:val="00C90FF0"/>
    <w:rsid w:val="00C91A5F"/>
    <w:rsid w:val="00C93B1F"/>
    <w:rsid w:val="00CF1C0A"/>
    <w:rsid w:val="00CF72F2"/>
    <w:rsid w:val="00D13B00"/>
    <w:rsid w:val="00D17BDE"/>
    <w:rsid w:val="00D52207"/>
    <w:rsid w:val="00E0559F"/>
    <w:rsid w:val="00E4116B"/>
    <w:rsid w:val="00E64318"/>
    <w:rsid w:val="00E8024F"/>
    <w:rsid w:val="00E948DC"/>
    <w:rsid w:val="00EE5611"/>
    <w:rsid w:val="00F134BF"/>
    <w:rsid w:val="00F35FCA"/>
    <w:rsid w:val="00F46B1E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83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6527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65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56527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52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652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65270"/>
    <w:rPr>
      <w:rFonts w:ascii="Times New Roman" w:hAnsi="Times New Roman"/>
      <w:sz w:val="24"/>
    </w:rPr>
  </w:style>
  <w:style w:type="paragraph" w:styleId="a6">
    <w:name w:val="footer"/>
    <w:basedOn w:val="a"/>
    <w:link w:val="Char1"/>
    <w:uiPriority w:val="99"/>
    <w:semiHidden/>
    <w:unhideWhenUsed/>
    <w:rsid w:val="0056527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65270"/>
    <w:rPr>
      <w:rFonts w:ascii="Times New Roman" w:hAnsi="Times New Roman"/>
      <w:sz w:val="24"/>
    </w:rPr>
  </w:style>
  <w:style w:type="paragraph" w:styleId="Web">
    <w:name w:val="Normal (Web)"/>
    <w:basedOn w:val="a"/>
    <w:uiPriority w:val="99"/>
    <w:semiHidden/>
    <w:unhideWhenUsed/>
    <w:rsid w:val="0092051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l-GR"/>
    </w:rPr>
  </w:style>
  <w:style w:type="character" w:styleId="a7">
    <w:name w:val="Strong"/>
    <w:basedOn w:val="a0"/>
    <w:uiPriority w:val="22"/>
    <w:qFormat/>
    <w:rsid w:val="009205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917;&#958;&#959;&#953;&#954;&#959;&#957;&#972;&#956;&#951;&#963;&#951;2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917;&#958;&#959;&#953;&#954;&#959;&#957;&#972;&#956;&#951;&#963;&#951;2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917;&#958;&#959;&#953;&#954;&#959;&#957;&#972;&#956;&#951;&#963;&#951;2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Αιτήσεις που έχουν ήδη υπαχθεί</a:t>
            </a:r>
            <a:r>
              <a:rPr lang="el-GR" baseline="0"/>
              <a:t> ανά ενεργειακή κατηγορία</a:t>
            </a:r>
            <a:endParaRPr lang="el-GR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8.4563536706433226E-2"/>
          <c:y val="0.11286579635375317"/>
          <c:w val="0.86257663223420056"/>
          <c:h val="0.78504327136059426"/>
        </c:manualLayout>
      </c:layout>
      <c:bar3DChart>
        <c:barDir val="bar"/>
        <c:grouping val="clustered"/>
        <c:ser>
          <c:idx val="0"/>
          <c:order val="0"/>
          <c:dPt>
            <c:idx val="0"/>
            <c:spPr>
              <a:solidFill>
                <a:srgbClr val="CFD85A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00-4ACC-BDCC-961B83681F19}"/>
              </c:ext>
            </c:extLst>
          </c:dPt>
          <c:dPt>
            <c:idx val="1"/>
            <c:spPr>
              <a:solidFill>
                <a:srgbClr val="FAB88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00-4ACC-BDCC-961B83681F19}"/>
              </c:ext>
            </c:extLst>
          </c:dPt>
          <c:dPt>
            <c:idx val="2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400-4ACC-BDCC-961B83681F19}"/>
              </c:ext>
            </c:extLst>
          </c:dPt>
          <c:dPt>
            <c:idx val="3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400-4ACC-BDCC-961B83681F19}"/>
              </c:ext>
            </c:extLst>
          </c:dPt>
          <c:dLbls>
            <c:dLbl>
              <c:idx val="0"/>
              <c:layout>
                <c:manualLayout>
                  <c:x val="-0.102414652574554"/>
                  <c:y val="1.8802713554927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1.820 (12,4%)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00-4ACC-BDCC-961B83681F19}"/>
                </c:ext>
              </c:extLst>
            </c:dLbl>
            <c:dLbl>
              <c:idx val="1"/>
              <c:layout>
                <c:manualLayout>
                  <c:x val="-0.17069108762425639"/>
                  <c:y val="2.71592375212681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2.461 (16,7%)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00-4ACC-BDCC-961B83681F19}"/>
                </c:ext>
              </c:extLst>
            </c:dLbl>
            <c:dLbl>
              <c:idx val="2"/>
              <c:layout>
                <c:manualLayout>
                  <c:x val="-0.17069108762425639"/>
                  <c:y val="2.50700654042474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2.525 (17,2%)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00-4ACC-BDCC-961B83681F19}"/>
                </c:ext>
              </c:extLst>
            </c:dLbl>
            <c:dLbl>
              <c:idx val="3"/>
              <c:layout>
                <c:manualLayout>
                  <c:x val="-0.7073438671149187"/>
                  <c:y val="2.71592375212681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7.903 (53,7%)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00-4ACC-BDCC-961B83681F1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'[Εξοικονόμηση2 (1).xlsx]Φύλλο4'!$A$1:$A$4</c:f>
              <c:strCache>
                <c:ptCount val="4"/>
                <c:pt idx="0">
                  <c:v>D</c:v>
                </c:pt>
                <c:pt idx="1">
                  <c:v>E</c:v>
                </c:pt>
                <c:pt idx="2">
                  <c:v>F</c:v>
                </c:pt>
                <c:pt idx="3">
                  <c:v>G</c:v>
                </c:pt>
              </c:strCache>
            </c:strRef>
          </c:cat>
          <c:val>
            <c:numRef>
              <c:f>'[Εξοικονόμηση2 (1).xlsx]Φύλλο4'!$B$1:$B$4</c:f>
              <c:numCache>
                <c:formatCode>#,##0</c:formatCode>
                <c:ptCount val="4"/>
                <c:pt idx="0">
                  <c:v>1820</c:v>
                </c:pt>
                <c:pt idx="1">
                  <c:v>2461</c:v>
                </c:pt>
                <c:pt idx="2">
                  <c:v>2525</c:v>
                </c:pt>
                <c:pt idx="3">
                  <c:v>7903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8-D400-4ACC-BDCC-961B83681F19}"/>
            </c:ext>
          </c:extLst>
        </c:ser>
        <c:dLbls>
          <c:showVal val="1"/>
        </c:dLbls>
        <c:gapWidth val="0"/>
        <c:gapDepth val="0"/>
        <c:shape val="box"/>
        <c:axId val="165724544"/>
        <c:axId val="165726464"/>
        <c:axId val="0"/>
      </c:bar3DChart>
      <c:catAx>
        <c:axId val="165724544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l-GR" sz="1600"/>
                  <a:t>κατηγορία ενεργειακής απόδοσης</a:t>
                </a:r>
              </a:p>
            </c:rich>
          </c:tx>
          <c:layout>
            <c:manualLayout>
              <c:xMode val="edge"/>
              <c:yMode val="edge"/>
              <c:x val="8.5065986755232161E-3"/>
              <c:y val="0.26342502824906233"/>
            </c:manualLayout>
          </c:layout>
        </c:title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el-GR"/>
          </a:p>
        </c:txPr>
        <c:crossAx val="165726464"/>
        <c:crosses val="autoZero"/>
        <c:auto val="1"/>
        <c:lblAlgn val="ctr"/>
        <c:lblOffset val="100"/>
      </c:catAx>
      <c:valAx>
        <c:axId val="165726464"/>
        <c:scaling>
          <c:orientation val="minMax"/>
        </c:scaling>
        <c:axPos val="t"/>
        <c:majorGridlines/>
        <c:numFmt formatCode="#,##0" sourceLinked="1"/>
        <c:tickLblPos val="nextTo"/>
        <c:crossAx val="16572454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Αιτήσεις</a:t>
            </a:r>
            <a:r>
              <a:rPr lang="el-GR" baseline="0"/>
              <a:t> που έχουν ήδη υπαχθεί ανά Περιφέρεια</a:t>
            </a:r>
            <a:endParaRPr lang="el-GR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bestFit"/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'[Εξοικονόμηση2 (1).xlsx]Φύλλο1'!$B$2:$B$14</c:f>
              <c:strCache>
                <c:ptCount val="13"/>
                <c:pt idx="0">
                  <c:v>Ανατολικής Μακεδονίας &amp; Θράκης</c:v>
                </c:pt>
                <c:pt idx="1">
                  <c:v>Δυτικής Ελλάδας</c:v>
                </c:pt>
                <c:pt idx="2">
                  <c:v>Ηπείρου</c:v>
                </c:pt>
                <c:pt idx="3">
                  <c:v>Θεσσαλίας</c:v>
                </c:pt>
                <c:pt idx="4">
                  <c:v>Κεντρικής Μακεδονίας</c:v>
                </c:pt>
                <c:pt idx="5">
                  <c:v>Βορείου Αιγαίου</c:v>
                </c:pt>
                <c:pt idx="6">
                  <c:v>Δυτικής Μακεδονίας</c:v>
                </c:pt>
                <c:pt idx="7">
                  <c:v>Ιονίων Νήσων</c:v>
                </c:pt>
                <c:pt idx="8">
                  <c:v>Κρήτης</c:v>
                </c:pt>
                <c:pt idx="9">
                  <c:v>Πελοποννήσου</c:v>
                </c:pt>
                <c:pt idx="10">
                  <c:v>Στερεάς Ελλάδας</c:v>
                </c:pt>
                <c:pt idx="11">
                  <c:v>Αττικής</c:v>
                </c:pt>
                <c:pt idx="12">
                  <c:v>Νοτίου Αιγαίου</c:v>
                </c:pt>
              </c:strCache>
            </c:strRef>
          </c:cat>
          <c:val>
            <c:numRef>
              <c:f>'[Εξοικονόμηση2 (1).xlsx]Φύλλο1'!$H$2:$H$14</c:f>
              <c:numCache>
                <c:formatCode>#,##0</c:formatCode>
                <c:ptCount val="13"/>
                <c:pt idx="0">
                  <c:v>1001</c:v>
                </c:pt>
                <c:pt idx="1">
                  <c:v>1181</c:v>
                </c:pt>
                <c:pt idx="2">
                  <c:v>1143</c:v>
                </c:pt>
                <c:pt idx="3">
                  <c:v>1894</c:v>
                </c:pt>
                <c:pt idx="4">
                  <c:v>3322</c:v>
                </c:pt>
                <c:pt idx="5">
                  <c:v>313</c:v>
                </c:pt>
                <c:pt idx="6">
                  <c:v>692</c:v>
                </c:pt>
                <c:pt idx="7">
                  <c:v>133</c:v>
                </c:pt>
                <c:pt idx="8">
                  <c:v>656</c:v>
                </c:pt>
                <c:pt idx="9">
                  <c:v>801</c:v>
                </c:pt>
                <c:pt idx="10">
                  <c:v>794</c:v>
                </c:pt>
                <c:pt idx="11">
                  <c:v>2621</c:v>
                </c:pt>
                <c:pt idx="12">
                  <c:v>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0A-4557-91F6-D91DE1E11DF8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Είδος Επιλέξιμης Κατοικίας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7520741789597405E-2"/>
          <c:y val="8.5562455306933266E-2"/>
          <c:w val="0.91186942276951521"/>
          <c:h val="0.83300128656812356"/>
        </c:manualLayout>
      </c:layout>
      <c:pie3DChart>
        <c:varyColors val="1"/>
        <c:ser>
          <c:idx val="0"/>
          <c:order val="0"/>
          <c:explosion val="16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l-GR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'[Εξοικονόμηση2 (1).xlsx]Φύλλο2'!$A$1:$A$3</c:f>
              <c:strCache>
                <c:ptCount val="3"/>
                <c:pt idx="0">
                  <c:v>Μεμονωμένο διαμέρισμα πολυκατοικίας</c:v>
                </c:pt>
                <c:pt idx="1">
                  <c:v>διαμέρισμα ως μέρος πολυκατοικίας</c:v>
                </c:pt>
                <c:pt idx="2">
                  <c:v>Μονοκατοικία</c:v>
                </c:pt>
              </c:strCache>
            </c:strRef>
          </c:cat>
          <c:val>
            <c:numRef>
              <c:f>'[Εξοικονόμηση2 (1).xlsx]Φύλλο2'!$B$1:$B$3</c:f>
              <c:numCache>
                <c:formatCode>General</c:formatCode>
                <c:ptCount val="3"/>
                <c:pt idx="0" formatCode="#,##0">
                  <c:v>10265</c:v>
                </c:pt>
                <c:pt idx="1">
                  <c:v>193</c:v>
                </c:pt>
                <c:pt idx="2" formatCode="#,##0">
                  <c:v>4251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AC-4103-8F84-40BFA92F6D9A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Στρατής Δεμερτζής</cp:lastModifiedBy>
  <cp:revision>2</cp:revision>
  <dcterms:created xsi:type="dcterms:W3CDTF">2018-08-12T18:30:00Z</dcterms:created>
  <dcterms:modified xsi:type="dcterms:W3CDTF">2018-08-12T18:30:00Z</dcterms:modified>
</cp:coreProperties>
</file>